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117E2F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5" o:title=""/>
            </v:shape>
            <v:shape id="_x0000_s1033" type="#_x0000_t75" style="position:absolute;left:1346;top:218;width:1418;height:1120">
              <v:imagedata r:id="rId6" o:title=""/>
            </v:shape>
            <v:shape id="_x0000_s1032" type="#_x0000_t75" style="position:absolute;left:3788;top:278;width:593;height:237">
              <v:imagedata r:id="rId7" o:title=""/>
            </v:shape>
            <v:shape id="_x0000_s1031" type="#_x0000_t75" style="position:absolute;left:2864;top:262;width:5767;height:979">
              <v:imagedata r:id="rId8" o:title=""/>
            </v:shape>
            <v:shape id="_x0000_s1030" type="#_x0000_t75" style="position:absolute;left:8694;top:934;width:755;height:241">
              <v:imagedata r:id="rId9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117E2F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1C92F720" w:rsidR="0046742B" w:rsidRPr="00E064D0" w:rsidRDefault="00120A29" w:rsidP="00117E2F">
            <w:pPr>
              <w:pStyle w:val="TableParagraph"/>
              <w:tabs>
                <w:tab w:val="left" w:pos="4521"/>
                <w:tab w:val="left" w:pos="6500"/>
              </w:tabs>
              <w:spacing w:before="7"/>
              <w:jc w:val="both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E04360">
              <w:rPr>
                <w:spacing w:val="-5"/>
                <w:sz w:val="24"/>
                <w:lang w:val="pt-BR"/>
              </w:rPr>
              <w:t>Atividades Complementares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117E2F">
              <w:rPr>
                <w:spacing w:val="58"/>
                <w:sz w:val="24"/>
                <w:lang w:val="pt-BR"/>
              </w:rPr>
              <w:t xml:space="preserve"> </w:t>
            </w:r>
            <w:r w:rsidR="00117E2F">
              <w:rPr>
                <w:sz w:val="24"/>
                <w:lang w:val="pt-BR"/>
              </w:rPr>
              <w:t>10</w:t>
            </w:r>
            <w:bookmarkStart w:id="0" w:name="_GoBack"/>
            <w:bookmarkEnd w:id="0"/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675277">
              <w:rPr>
                <w:sz w:val="24"/>
                <w:lang w:val="pt-BR"/>
              </w:rPr>
              <w:t>200</w:t>
            </w:r>
          </w:p>
        </w:tc>
      </w:tr>
      <w:tr w:rsidR="0046742B" w:rsidRPr="00D94D83" w14:paraId="4DDBD460" w14:textId="77777777" w:rsidTr="0040021D">
        <w:trPr>
          <w:trHeight w:val="542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F4F89C8" w14:textId="77777777" w:rsidR="00E04360" w:rsidRPr="00CA4BA4" w:rsidRDefault="00E04360" w:rsidP="00675277">
            <w:pPr>
              <w:spacing w:line="359" w:lineRule="auto"/>
              <w:ind w:firstLine="1276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Pedagogia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orientado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concepções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advindas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CNE,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sincronizam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competências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reflexiva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crítica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possibilidades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práticas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exercícios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diversificados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pela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configuração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traz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riqueza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possibilidade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construção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interativa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específica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vocação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discente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É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imprescindível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desafios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interatividade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necessários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se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constituam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espaços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diferentes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contextos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significado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singular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diferencial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configuração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história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vida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futuro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professor.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legislação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orienta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amplitude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absolutamente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necessária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só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valorização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autonomia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estudante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também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articulação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responsabilidade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empreendida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conhecimento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pela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vivência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estrutura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diversificada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objetiva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promover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hábito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investimento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continuada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atualização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capacitação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constantes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79657733" w14:textId="77777777" w:rsidR="00E04360" w:rsidRPr="00CA4BA4" w:rsidRDefault="00E04360" w:rsidP="00675277">
            <w:pPr>
              <w:spacing w:line="17" w:lineRule="exact"/>
              <w:jc w:val="both"/>
              <w:rPr>
                <w:sz w:val="24"/>
                <w:szCs w:val="24"/>
              </w:rPr>
            </w:pPr>
          </w:p>
          <w:p w14:paraId="449ACC8C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constituirão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aproveitamento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estudos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práticas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afins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longo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todo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monitorias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livres,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sequenciais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pesquisa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extensão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eventos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quaisquer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similares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Podem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aproveitadas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disciplinas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além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exigidas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01A5FBCB" w14:textId="77777777" w:rsidR="00E04360" w:rsidRPr="00CA4BA4" w:rsidRDefault="00E04360" w:rsidP="00675277">
            <w:pPr>
              <w:spacing w:line="7" w:lineRule="exact"/>
              <w:jc w:val="both"/>
              <w:rPr>
                <w:sz w:val="24"/>
                <w:szCs w:val="24"/>
              </w:rPr>
            </w:pPr>
          </w:p>
          <w:p w14:paraId="57B9418F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Semestralmente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instituída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Departamento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comissão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professores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acompanhamento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avaliação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Estudos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321E3092" w14:textId="14A7CC18" w:rsidR="00E04360" w:rsidRPr="00990D06" w:rsidRDefault="00E04360" w:rsidP="00272380">
            <w:pPr>
              <w:pStyle w:val="Ttulo4"/>
              <w:jc w:val="center"/>
              <w:rPr>
                <w:rFonts w:ascii="Times New Roman" w:eastAsia="Tahoma" w:hAnsi="Times New Roman"/>
                <w:sz w:val="24"/>
                <w:szCs w:val="24"/>
              </w:rPr>
            </w:pPr>
            <w:r w:rsidRPr="00990D06">
              <w:rPr>
                <w:rFonts w:ascii="Times New Roman" w:eastAsia="Tahoma" w:hAnsi="Times New Roman"/>
                <w:sz w:val="24"/>
                <w:szCs w:val="24"/>
              </w:rPr>
              <w:t>REGULAMENTO DAS ATIVIDADES COMPLEMENTARES</w:t>
            </w:r>
          </w:p>
          <w:p w14:paraId="4B3A24BC" w14:textId="77777777" w:rsidR="00E04360" w:rsidRPr="00CA4BA4" w:rsidRDefault="00E04360" w:rsidP="00675277">
            <w:pPr>
              <w:spacing w:line="84" w:lineRule="exact"/>
              <w:jc w:val="both"/>
              <w:rPr>
                <w:sz w:val="24"/>
                <w:szCs w:val="24"/>
              </w:rPr>
            </w:pPr>
          </w:p>
          <w:p w14:paraId="10A01605" w14:textId="77777777" w:rsidR="00E04360" w:rsidRPr="00CA4BA4" w:rsidRDefault="00E04360" w:rsidP="00675277">
            <w:pPr>
              <w:spacing w:line="359" w:lineRule="auto"/>
              <w:ind w:firstLine="1133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Este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estabelece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critérios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normas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institucionalização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componente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Licenciatura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Pedagogia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6879697F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bookmarkStart w:id="1" w:name="page85"/>
            <w:bookmarkEnd w:id="1"/>
            <w:r w:rsidRPr="00CA4BA4">
              <w:rPr>
                <w:rFonts w:eastAsia="Tahoma"/>
                <w:b/>
                <w:sz w:val="24"/>
                <w:szCs w:val="24"/>
              </w:rPr>
              <w:t xml:space="preserve">Art. 1º- </w:t>
            </w:r>
            <w:r w:rsidRPr="00CA4BA4">
              <w:rPr>
                <w:rFonts w:eastAsia="Tahoma"/>
                <w:sz w:val="24"/>
                <w:szCs w:val="24"/>
              </w:rPr>
              <w:t xml:space="preserve">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componentes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curriculares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visam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contribuir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completa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favorecendo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ampliação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universo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cultural por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meio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pluralidade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espaços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educacional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flexibilização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integralizam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taisatividades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14D1295F" w14:textId="77777777" w:rsidR="00E04360" w:rsidRPr="00CA4BA4" w:rsidRDefault="00E04360" w:rsidP="00675277">
            <w:pPr>
              <w:spacing w:line="202" w:lineRule="exact"/>
              <w:jc w:val="both"/>
              <w:rPr>
                <w:sz w:val="24"/>
                <w:szCs w:val="24"/>
              </w:rPr>
            </w:pPr>
          </w:p>
          <w:p w14:paraId="372CDB22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lastRenderedPageBreak/>
              <w:t>Art. 2º</w:t>
            </w:r>
            <w:r w:rsidRPr="00CA4BA4">
              <w:rPr>
                <w:rFonts w:eastAsia="Tahoma"/>
                <w:sz w:val="24"/>
                <w:szCs w:val="24"/>
              </w:rPr>
              <w:t xml:space="preserve">-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currículo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todos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Licenciatura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Bacharelado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acordo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Resoluções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CNE/CP Nº 2, de 19/02/2002; CNE/CP Nº 1, de 15/05/2006; CNE/CSE Nº 2, de 18/06/2007; CNE/CES Nº4 de 06/04/2009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Diretrizes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Curriculares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Nacionais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diferentes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4EDF74FA" w14:textId="77777777" w:rsidR="00E04360" w:rsidRPr="00CA4BA4" w:rsidRDefault="00E04360" w:rsidP="00675277">
            <w:pPr>
              <w:spacing w:line="126" w:lineRule="exact"/>
              <w:jc w:val="both"/>
              <w:rPr>
                <w:sz w:val="24"/>
                <w:szCs w:val="24"/>
              </w:rPr>
            </w:pPr>
          </w:p>
          <w:p w14:paraId="6D977B8D" w14:textId="77777777" w:rsidR="00E04360" w:rsidRPr="00CA4BA4" w:rsidRDefault="00E04360" w:rsidP="00675277">
            <w:pPr>
              <w:widowControl/>
              <w:numPr>
                <w:ilvl w:val="0"/>
                <w:numId w:val="1"/>
              </w:numPr>
              <w:tabs>
                <w:tab w:val="left" w:pos="1006"/>
              </w:tabs>
              <w:autoSpaceDE/>
              <w:autoSpaceDN/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1º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efeito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Licenciatura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Plena</w:t>
            </w:r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cumpra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-se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exposto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Resolução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CNE/CP Nº 2/2002,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estabelece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200 (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duzentas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) horas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AcadêmicasCientífico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Culturais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676BBD2B" w14:textId="77777777" w:rsidR="00E04360" w:rsidRPr="00CA4BA4" w:rsidRDefault="00E04360" w:rsidP="00675277">
            <w:pPr>
              <w:spacing w:line="126" w:lineRule="exact"/>
              <w:jc w:val="both"/>
              <w:rPr>
                <w:rFonts w:eastAsia="Tahoma"/>
                <w:sz w:val="24"/>
                <w:szCs w:val="24"/>
              </w:rPr>
            </w:pPr>
          </w:p>
          <w:p w14:paraId="2B44F8A8" w14:textId="77777777" w:rsidR="00E04360" w:rsidRPr="00CA4BA4" w:rsidRDefault="00E04360" w:rsidP="00675277">
            <w:pPr>
              <w:widowControl/>
              <w:numPr>
                <w:ilvl w:val="1"/>
                <w:numId w:val="1"/>
              </w:numPr>
              <w:tabs>
                <w:tab w:val="left" w:pos="1166"/>
              </w:tabs>
              <w:autoSpaceDE/>
              <w:autoSpaceDN/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2º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Licenciatura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Pedagogia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seguem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dispõe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Resolução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CNE/CP nº 1, de 15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2006,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estabelece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200 (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duzentas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) horas para atividadesteórico-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práticasdeaprofundamento,emáreasespecíficasdeinteressedosalunos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08E4C567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3º </w:t>
            </w:r>
            <w:r w:rsidRPr="00CA4BA4">
              <w:rPr>
                <w:rFonts w:eastAsia="Tahoma"/>
                <w:sz w:val="24"/>
                <w:szCs w:val="24"/>
              </w:rPr>
              <w:t xml:space="preserve">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consideradas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princípio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toda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qualquer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extra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sala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aula,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sejam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aprofundamento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ampliação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profissional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guardem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correlação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conexão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conhecimento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planejamento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inclusão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curricular.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caráter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profissional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mantendo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correlação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objetivos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matriculados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conhecimentos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habilidades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previstos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Diretrizes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Curriculares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Nacionais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contribuam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eficiência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exercício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profissional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concorram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convivência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social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ética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orientada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interesses da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comunidade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7EEA79B2" w14:textId="77777777" w:rsidR="00E04360" w:rsidRPr="00CA4BA4" w:rsidRDefault="00E04360" w:rsidP="00675277">
            <w:pPr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>Art. 4º</w:t>
            </w:r>
            <w:r w:rsidRPr="00CA4BA4">
              <w:rPr>
                <w:rFonts w:eastAsia="Tahoma"/>
                <w:sz w:val="24"/>
                <w:szCs w:val="24"/>
              </w:rPr>
              <w:t xml:space="preserve">- Compete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</w:p>
          <w:p w14:paraId="044B9103" w14:textId="77777777" w:rsidR="00E04360" w:rsidRPr="00CA4BA4" w:rsidRDefault="00E04360" w:rsidP="00675277">
            <w:pPr>
              <w:spacing w:line="150" w:lineRule="exact"/>
              <w:jc w:val="both"/>
              <w:rPr>
                <w:sz w:val="24"/>
                <w:szCs w:val="24"/>
              </w:rPr>
            </w:pPr>
          </w:p>
          <w:p w14:paraId="3A7C3885" w14:textId="77777777" w:rsidR="00E04360" w:rsidRPr="00CA4BA4" w:rsidRDefault="00E04360" w:rsidP="00675277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355" w:lineRule="auto"/>
              <w:ind w:firstLine="1134"/>
              <w:jc w:val="both"/>
              <w:rPr>
                <w:sz w:val="24"/>
                <w:szCs w:val="24"/>
              </w:rPr>
            </w:pPr>
            <w:bookmarkStart w:id="2" w:name="page86"/>
            <w:bookmarkEnd w:id="2"/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componente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aproveitamento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fim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aperfeiçoar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integralização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curricular;</w:t>
            </w:r>
          </w:p>
          <w:p w14:paraId="4A912B18" w14:textId="77777777" w:rsidR="00E04360" w:rsidRPr="00CA4BA4" w:rsidRDefault="00E04360" w:rsidP="00675277">
            <w:pPr>
              <w:spacing w:line="129" w:lineRule="exact"/>
              <w:jc w:val="both"/>
              <w:rPr>
                <w:sz w:val="24"/>
                <w:szCs w:val="24"/>
              </w:rPr>
            </w:pPr>
          </w:p>
          <w:p w14:paraId="3E2F1D52" w14:textId="77777777" w:rsidR="00E04360" w:rsidRPr="00CA4BA4" w:rsidRDefault="00E04360" w:rsidP="00675277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355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Prevenir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-se contra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cumprimento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prevista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administrando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contabilizando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as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long</w:t>
            </w:r>
            <w:r>
              <w:rPr>
                <w:rFonts w:eastAsia="Tahoma"/>
                <w:sz w:val="24"/>
                <w:szCs w:val="24"/>
              </w:rPr>
              <w:t>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do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3084B851" w14:textId="77777777" w:rsidR="00E04360" w:rsidRPr="00CA4BA4" w:rsidRDefault="00E04360" w:rsidP="00675277">
            <w:pPr>
              <w:spacing w:line="130" w:lineRule="exact"/>
              <w:jc w:val="both"/>
              <w:rPr>
                <w:sz w:val="24"/>
                <w:szCs w:val="24"/>
              </w:rPr>
            </w:pPr>
          </w:p>
          <w:p w14:paraId="6E9FD9FC" w14:textId="77777777" w:rsidR="00E04360" w:rsidRPr="00CA4BA4" w:rsidRDefault="00E04360" w:rsidP="00675277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355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Requerer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formulário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específico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junto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protocolo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registro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anexando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requerimento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comprobatória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efetiva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expedida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Órgão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Entidade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Instituição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onde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057A7B3B" w14:textId="77777777" w:rsidR="00E04360" w:rsidRPr="00CA4BA4" w:rsidRDefault="00E04360" w:rsidP="00675277">
            <w:pPr>
              <w:spacing w:line="127" w:lineRule="exact"/>
              <w:jc w:val="both"/>
              <w:rPr>
                <w:sz w:val="24"/>
                <w:szCs w:val="24"/>
              </w:rPr>
            </w:pPr>
          </w:p>
          <w:p w14:paraId="46D64273" w14:textId="77777777" w:rsidR="00E04360" w:rsidRPr="00CA4BA4" w:rsidRDefault="00E04360" w:rsidP="00675277">
            <w:pPr>
              <w:widowControl/>
              <w:numPr>
                <w:ilvl w:val="0"/>
                <w:numId w:val="2"/>
              </w:numPr>
              <w:tabs>
                <w:tab w:val="left" w:pos="860"/>
              </w:tabs>
              <w:autoSpaceDE/>
              <w:autoSpaceDN/>
              <w:spacing w:line="352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Entrar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junto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Conselho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Departamento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cabível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24C02293" w14:textId="77777777" w:rsidR="00E04360" w:rsidRPr="00CA4BA4" w:rsidRDefault="00E04360" w:rsidP="00675277">
            <w:pPr>
              <w:spacing w:line="126" w:lineRule="exact"/>
              <w:jc w:val="both"/>
              <w:rPr>
                <w:sz w:val="24"/>
                <w:szCs w:val="24"/>
              </w:rPr>
            </w:pPr>
          </w:p>
          <w:p w14:paraId="79FB3159" w14:textId="77777777" w:rsidR="00E04360" w:rsidRPr="00CA4BA4" w:rsidRDefault="00E04360" w:rsidP="00675277">
            <w:pPr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>Art. 5º</w:t>
            </w:r>
            <w:r w:rsidRPr="00CA4BA4">
              <w:rPr>
                <w:rFonts w:eastAsia="Tahoma"/>
                <w:sz w:val="24"/>
                <w:szCs w:val="24"/>
              </w:rPr>
              <w:t xml:space="preserve">- Compete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</w:p>
          <w:p w14:paraId="34A11C44" w14:textId="77777777" w:rsidR="00E04360" w:rsidRPr="00CA4BA4" w:rsidRDefault="00E04360" w:rsidP="00675277">
            <w:pPr>
              <w:spacing w:line="266" w:lineRule="exact"/>
              <w:jc w:val="both"/>
              <w:rPr>
                <w:sz w:val="24"/>
                <w:szCs w:val="24"/>
              </w:rPr>
            </w:pPr>
          </w:p>
          <w:p w14:paraId="23C63D23" w14:textId="77777777" w:rsidR="00E04360" w:rsidRPr="00CA4BA4" w:rsidRDefault="00E04360" w:rsidP="00675277">
            <w:pPr>
              <w:widowControl/>
              <w:numPr>
                <w:ilvl w:val="0"/>
                <w:numId w:val="3"/>
              </w:numPr>
              <w:tabs>
                <w:tab w:val="left" w:pos="820"/>
              </w:tabs>
              <w:autoSpaceDE/>
              <w:autoSpaceDN/>
              <w:spacing w:line="356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Promover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estimular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informando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professores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mesmas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for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responsabilidade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lastRenderedPageBreak/>
              <w:t>organização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ciente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oficiais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desenvolvimento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promover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ampla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divulgação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destas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professores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072438CB" w14:textId="77777777" w:rsidR="00E04360" w:rsidRPr="00CA4BA4" w:rsidRDefault="00E04360" w:rsidP="00675277">
            <w:pPr>
              <w:spacing w:line="126" w:lineRule="exact"/>
              <w:jc w:val="both"/>
              <w:rPr>
                <w:sz w:val="24"/>
                <w:szCs w:val="24"/>
              </w:rPr>
            </w:pPr>
          </w:p>
          <w:p w14:paraId="13A36564" w14:textId="77777777" w:rsidR="00E04360" w:rsidRPr="00CA4BA4" w:rsidRDefault="00E04360" w:rsidP="00675277">
            <w:pPr>
              <w:widowControl/>
              <w:numPr>
                <w:ilvl w:val="0"/>
                <w:numId w:val="3"/>
              </w:numPr>
              <w:tabs>
                <w:tab w:val="left" w:pos="820"/>
              </w:tabs>
              <w:autoSpaceDE/>
              <w:autoSpaceDN/>
              <w:spacing w:line="350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Orientar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esclarecer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sobre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desenvolvidas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conforme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Pedagógico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especificidades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7E757628" w14:textId="77777777" w:rsidR="00E04360" w:rsidRPr="00CA4BA4" w:rsidRDefault="00E04360" w:rsidP="00675277">
            <w:pPr>
              <w:spacing w:line="134" w:lineRule="exact"/>
              <w:jc w:val="both"/>
              <w:rPr>
                <w:sz w:val="24"/>
                <w:szCs w:val="24"/>
              </w:rPr>
            </w:pPr>
          </w:p>
          <w:p w14:paraId="7B42CBA6" w14:textId="77777777" w:rsidR="00E04360" w:rsidRPr="00CA4BA4" w:rsidRDefault="00E04360" w:rsidP="00675277">
            <w:pPr>
              <w:widowControl/>
              <w:numPr>
                <w:ilvl w:val="0"/>
                <w:numId w:val="3"/>
              </w:numPr>
              <w:tabs>
                <w:tab w:val="left" w:pos="808"/>
              </w:tabs>
              <w:autoSpaceDE/>
              <w:autoSpaceDN/>
              <w:spacing w:line="355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Analisar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deferir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plenamente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alterações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indeferir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solicitações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preenchendo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mapa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registro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checando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comprobatória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dessas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quantidade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horas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correspondência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registro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histórico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escolar do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4C8B8788" w14:textId="77777777" w:rsidR="00E04360" w:rsidRPr="00CA4BA4" w:rsidRDefault="00E04360" w:rsidP="00675277">
            <w:pPr>
              <w:spacing w:line="2" w:lineRule="exact"/>
              <w:jc w:val="both"/>
              <w:rPr>
                <w:sz w:val="24"/>
                <w:szCs w:val="24"/>
              </w:rPr>
            </w:pPr>
          </w:p>
          <w:p w14:paraId="1FDB395C" w14:textId="77777777" w:rsidR="00E04360" w:rsidRPr="00CA4BA4" w:rsidRDefault="00E04360" w:rsidP="00675277">
            <w:pPr>
              <w:widowControl/>
              <w:numPr>
                <w:ilvl w:val="0"/>
                <w:numId w:val="4"/>
              </w:numPr>
              <w:tabs>
                <w:tab w:val="left" w:pos="820"/>
              </w:tabs>
              <w:autoSpaceDE/>
              <w:autoSpaceDN/>
              <w:spacing w:line="354" w:lineRule="auto"/>
              <w:ind w:firstLine="1134"/>
              <w:jc w:val="both"/>
              <w:rPr>
                <w:sz w:val="24"/>
                <w:szCs w:val="24"/>
              </w:rPr>
            </w:pPr>
            <w:bookmarkStart w:id="3" w:name="page87"/>
            <w:bookmarkEnd w:id="3"/>
            <w:proofErr w:type="spellStart"/>
            <w:r w:rsidRPr="00CA4BA4">
              <w:rPr>
                <w:rFonts w:eastAsia="Tahoma"/>
                <w:sz w:val="24"/>
                <w:szCs w:val="24"/>
              </w:rPr>
              <w:t>Encaminhar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Comissão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responsável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pela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quantidade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horas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correspondência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arredondados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final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encaminhamento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SERCA,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órgão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responsável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pela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383446CE" w14:textId="77777777" w:rsidR="00E04360" w:rsidRPr="00CA4BA4" w:rsidRDefault="00E04360" w:rsidP="00675277">
            <w:pPr>
              <w:spacing w:line="13" w:lineRule="exact"/>
              <w:jc w:val="both"/>
              <w:rPr>
                <w:sz w:val="24"/>
                <w:szCs w:val="24"/>
              </w:rPr>
            </w:pPr>
          </w:p>
          <w:p w14:paraId="488D1225" w14:textId="77777777" w:rsidR="00E04360" w:rsidRPr="00CA4BA4" w:rsidRDefault="00E04360" w:rsidP="00675277">
            <w:pPr>
              <w:widowControl/>
              <w:numPr>
                <w:ilvl w:val="0"/>
                <w:numId w:val="4"/>
              </w:numPr>
              <w:tabs>
                <w:tab w:val="left" w:pos="820"/>
              </w:tabs>
              <w:autoSpaceDE/>
              <w:autoSpaceDN/>
              <w:spacing w:line="353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Propor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consideradas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levando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peculiaridades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conhecimento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respectivo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haja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correlação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um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tipos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relacionados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quadro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anexo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com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correspondente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natureza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66FDEFF4" w14:textId="77777777" w:rsidR="00E04360" w:rsidRPr="00CA4BA4" w:rsidRDefault="00E04360" w:rsidP="00675277">
            <w:pPr>
              <w:spacing w:line="12" w:lineRule="exact"/>
              <w:jc w:val="both"/>
              <w:rPr>
                <w:sz w:val="24"/>
                <w:szCs w:val="24"/>
              </w:rPr>
            </w:pPr>
          </w:p>
          <w:p w14:paraId="36EB4DAA" w14:textId="77777777" w:rsidR="00E04360" w:rsidRPr="00CA4BA4" w:rsidRDefault="00E04360" w:rsidP="00675277">
            <w:pPr>
              <w:spacing w:line="360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6º </w:t>
            </w:r>
            <w:r w:rsidRPr="00CA4BA4">
              <w:rPr>
                <w:rFonts w:eastAsia="Tahoma"/>
                <w:sz w:val="24"/>
                <w:szCs w:val="24"/>
              </w:rPr>
              <w:t xml:space="preserve">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criada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Comissão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(CAAC)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composta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por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professores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realizarem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comprobatórios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entregues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via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protocolo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fim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proceder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lançando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resultados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fichas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individuais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arquivadas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até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semestre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conclusão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.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logo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cumpra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comprovantes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encaminhados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SERCA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registro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histórico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escolar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mesmo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7C0F4D6B" w14:textId="77777777" w:rsidR="00E04360" w:rsidRPr="00CA4BA4" w:rsidRDefault="00E04360" w:rsidP="00675277">
            <w:pPr>
              <w:spacing w:line="120" w:lineRule="exact"/>
              <w:jc w:val="both"/>
              <w:rPr>
                <w:sz w:val="24"/>
                <w:szCs w:val="24"/>
              </w:rPr>
            </w:pPr>
          </w:p>
          <w:p w14:paraId="7219F9D4" w14:textId="77777777" w:rsidR="00E04360" w:rsidRPr="00CA4BA4" w:rsidRDefault="00E04360" w:rsidP="00675277">
            <w:pPr>
              <w:tabs>
                <w:tab w:val="left" w:pos="1134"/>
              </w:tabs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7º </w:t>
            </w:r>
            <w:r w:rsidRPr="00CA4BA4">
              <w:rPr>
                <w:rFonts w:eastAsia="Tahoma"/>
                <w:sz w:val="24"/>
                <w:szCs w:val="24"/>
              </w:rPr>
              <w:t>-</w:t>
            </w:r>
            <w:r w:rsidRPr="00CA4BA4">
              <w:rPr>
                <w:sz w:val="24"/>
                <w:szCs w:val="24"/>
              </w:rPr>
              <w:tab/>
            </w:r>
            <w:r w:rsidRPr="00CA4BA4">
              <w:rPr>
                <w:rFonts w:eastAsia="Tahoma"/>
                <w:sz w:val="24"/>
                <w:szCs w:val="24"/>
              </w:rPr>
              <w:t xml:space="preserve">Compete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Coordenadores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Pedagogia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respectiva</w:t>
            </w:r>
            <w:proofErr w:type="spellEnd"/>
          </w:p>
          <w:p w14:paraId="699232DF" w14:textId="77777777" w:rsidR="00E04360" w:rsidRPr="00CA4BA4" w:rsidRDefault="00E04360" w:rsidP="00675277">
            <w:pPr>
              <w:spacing w:line="145" w:lineRule="exact"/>
              <w:jc w:val="both"/>
              <w:rPr>
                <w:sz w:val="24"/>
                <w:szCs w:val="24"/>
              </w:rPr>
            </w:pPr>
          </w:p>
          <w:p w14:paraId="28B694C4" w14:textId="77777777" w:rsidR="00E04360" w:rsidRPr="00CA4BA4" w:rsidRDefault="00E04360" w:rsidP="00675277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Comissão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(CAAC):</w:t>
            </w:r>
          </w:p>
          <w:p w14:paraId="7F75F16D" w14:textId="77777777" w:rsidR="00E04360" w:rsidRPr="00CA4BA4" w:rsidRDefault="00E04360" w:rsidP="00675277">
            <w:pPr>
              <w:spacing w:line="266" w:lineRule="exact"/>
              <w:jc w:val="both"/>
              <w:rPr>
                <w:sz w:val="24"/>
                <w:szCs w:val="24"/>
              </w:rPr>
            </w:pPr>
          </w:p>
          <w:p w14:paraId="6ABBD4B6" w14:textId="77777777" w:rsidR="00E04360" w:rsidRPr="00CA4BA4" w:rsidRDefault="00E04360" w:rsidP="00675277">
            <w:pPr>
              <w:widowControl/>
              <w:numPr>
                <w:ilvl w:val="0"/>
                <w:numId w:val="5"/>
              </w:numPr>
              <w:tabs>
                <w:tab w:val="left" w:pos="812"/>
              </w:tabs>
              <w:autoSpaceDE/>
              <w:autoSpaceDN/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Analisar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recursos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impetrados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revisão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validação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42DC3C88" w14:textId="77777777" w:rsidR="00E04360" w:rsidRPr="00CA4BA4" w:rsidRDefault="00E04360" w:rsidP="00675277">
            <w:pPr>
              <w:spacing w:line="125" w:lineRule="exact"/>
              <w:jc w:val="both"/>
              <w:rPr>
                <w:rFonts w:eastAsia="Tahoma"/>
                <w:sz w:val="24"/>
                <w:szCs w:val="24"/>
              </w:rPr>
            </w:pPr>
          </w:p>
          <w:p w14:paraId="160B1542" w14:textId="77777777" w:rsidR="00E04360" w:rsidRPr="00CA4BA4" w:rsidRDefault="00E04360" w:rsidP="00675277">
            <w:pPr>
              <w:widowControl/>
              <w:numPr>
                <w:ilvl w:val="0"/>
                <w:numId w:val="5"/>
              </w:numPr>
              <w:tabs>
                <w:tab w:val="left" w:pos="812"/>
              </w:tabs>
              <w:autoSpaceDE/>
              <w:autoSpaceDN/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Fomentar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propiciar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contribuir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desenvolvimento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permitam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contabilizar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horas/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423B5560" w14:textId="77777777" w:rsidR="00E04360" w:rsidRPr="00CA4BA4" w:rsidRDefault="00E04360" w:rsidP="00675277">
            <w:pPr>
              <w:spacing w:line="122" w:lineRule="exact"/>
              <w:jc w:val="both"/>
              <w:rPr>
                <w:rFonts w:eastAsia="Tahoma"/>
                <w:sz w:val="24"/>
                <w:szCs w:val="24"/>
              </w:rPr>
            </w:pPr>
          </w:p>
          <w:p w14:paraId="794719E4" w14:textId="77777777" w:rsidR="00E04360" w:rsidRPr="00CA4BA4" w:rsidRDefault="00E04360" w:rsidP="00675277">
            <w:pPr>
              <w:widowControl/>
              <w:numPr>
                <w:ilvl w:val="0"/>
                <w:numId w:val="5"/>
              </w:numPr>
              <w:tabs>
                <w:tab w:val="left" w:pos="812"/>
              </w:tabs>
              <w:autoSpaceDE/>
              <w:autoSpaceDN/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Contribuir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críticas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sugestões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sentido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aprimoramento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sistemática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estabelecida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neste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37B92DC0" w14:textId="77777777" w:rsidR="00E04360" w:rsidRPr="00CA4BA4" w:rsidRDefault="00E04360" w:rsidP="00675277">
            <w:pPr>
              <w:spacing w:line="124" w:lineRule="exact"/>
              <w:jc w:val="both"/>
              <w:rPr>
                <w:rFonts w:eastAsia="Tahoma"/>
                <w:sz w:val="24"/>
                <w:szCs w:val="24"/>
              </w:rPr>
            </w:pPr>
          </w:p>
          <w:p w14:paraId="561CE435" w14:textId="77777777" w:rsidR="00E04360" w:rsidRPr="00CA4BA4" w:rsidRDefault="00E04360" w:rsidP="00675277">
            <w:pPr>
              <w:widowControl/>
              <w:numPr>
                <w:ilvl w:val="0"/>
                <w:numId w:val="5"/>
              </w:numPr>
              <w:tabs>
                <w:tab w:val="left" w:pos="812"/>
              </w:tabs>
              <w:autoSpaceDE/>
              <w:autoSpaceDN/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Deliberar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sobre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novos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tipos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propostos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pela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o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homologado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Conselho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Centro e/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Faculdade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incluído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Projeto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Pedagógico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2D6BADB5" w14:textId="77777777" w:rsidR="00E04360" w:rsidRPr="00CA4BA4" w:rsidRDefault="00E04360" w:rsidP="00675277">
            <w:pPr>
              <w:spacing w:line="121" w:lineRule="exact"/>
              <w:jc w:val="both"/>
              <w:rPr>
                <w:rFonts w:eastAsia="Tahoma"/>
                <w:sz w:val="24"/>
                <w:szCs w:val="24"/>
              </w:rPr>
            </w:pPr>
          </w:p>
          <w:p w14:paraId="16F3B42D" w14:textId="77777777" w:rsidR="00E04360" w:rsidRPr="00B84587" w:rsidRDefault="00E04360" w:rsidP="00675277">
            <w:pPr>
              <w:widowControl/>
              <w:numPr>
                <w:ilvl w:val="0"/>
                <w:numId w:val="5"/>
              </w:numPr>
              <w:tabs>
                <w:tab w:val="left" w:pos="820"/>
              </w:tabs>
              <w:autoSpaceDE/>
              <w:autoSpaceDN/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B84587">
              <w:rPr>
                <w:rFonts w:eastAsia="Tahoma"/>
                <w:sz w:val="24"/>
                <w:szCs w:val="24"/>
              </w:rPr>
              <w:t>Analisar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omissas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nesta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Resolução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atribuindo</w:t>
            </w:r>
            <w:bookmarkStart w:id="4" w:name="page88"/>
            <w:bookmarkEnd w:id="4"/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B84587">
              <w:rPr>
                <w:rFonts w:eastAsia="Tahoma"/>
                <w:sz w:val="24"/>
                <w:szCs w:val="24"/>
              </w:rPr>
              <w:t xml:space="preserve">horas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lastRenderedPageBreak/>
              <w:t>exigidas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B84587">
              <w:rPr>
                <w:rFonts w:eastAsia="Tahoma"/>
                <w:sz w:val="24"/>
                <w:szCs w:val="24"/>
              </w:rPr>
              <w:t>avalidação</w:t>
            </w:r>
            <w:proofErr w:type="spellEnd"/>
            <w:r w:rsidRPr="00B84587">
              <w:rPr>
                <w:rFonts w:eastAsia="Tahoma"/>
                <w:sz w:val="24"/>
                <w:szCs w:val="24"/>
              </w:rPr>
              <w:t>.</w:t>
            </w:r>
          </w:p>
          <w:p w14:paraId="1E53D766" w14:textId="77777777" w:rsidR="00E04360" w:rsidRPr="00CA4BA4" w:rsidRDefault="00E04360" w:rsidP="00675277">
            <w:pPr>
              <w:spacing w:line="174" w:lineRule="exact"/>
              <w:jc w:val="both"/>
              <w:rPr>
                <w:sz w:val="24"/>
                <w:szCs w:val="24"/>
              </w:rPr>
            </w:pPr>
          </w:p>
          <w:p w14:paraId="117B2E9D" w14:textId="77777777" w:rsidR="00E04360" w:rsidRPr="00CA4BA4" w:rsidRDefault="00E04360" w:rsidP="00675277">
            <w:pPr>
              <w:spacing w:line="0" w:lineRule="atLeast"/>
              <w:ind w:firstLine="993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>Art.8º</w:t>
            </w:r>
            <w:r w:rsidRPr="00CA4BA4">
              <w:rPr>
                <w:rFonts w:eastAsia="Tahoma"/>
                <w:sz w:val="24"/>
                <w:szCs w:val="24"/>
              </w:rPr>
              <w:t xml:space="preserve">- Compete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Comissão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</w:p>
          <w:p w14:paraId="3DB7E63F" w14:textId="77777777" w:rsidR="00E04360" w:rsidRPr="00CA4BA4" w:rsidRDefault="00E04360" w:rsidP="00675277">
            <w:pPr>
              <w:spacing w:line="266" w:lineRule="exact"/>
              <w:jc w:val="both"/>
              <w:rPr>
                <w:sz w:val="24"/>
                <w:szCs w:val="24"/>
              </w:rPr>
            </w:pPr>
          </w:p>
          <w:p w14:paraId="5308D4FA" w14:textId="77777777" w:rsidR="00E04360" w:rsidRPr="00CA4BA4" w:rsidRDefault="00E04360" w:rsidP="00675277">
            <w:pPr>
              <w:widowControl/>
              <w:numPr>
                <w:ilvl w:val="0"/>
                <w:numId w:val="6"/>
              </w:numPr>
              <w:tabs>
                <w:tab w:val="left" w:pos="812"/>
              </w:tabs>
              <w:autoSpaceDE/>
              <w:autoSpaceDN/>
              <w:spacing w:line="350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Auxiliar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gerenciamento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análise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cômputo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emitindo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pareceres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quando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solicitados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14DF6FB6" w14:textId="77777777" w:rsidR="00E04360" w:rsidRPr="00CA4BA4" w:rsidRDefault="00E04360" w:rsidP="00675277">
            <w:pPr>
              <w:spacing w:line="130" w:lineRule="exact"/>
              <w:jc w:val="both"/>
              <w:rPr>
                <w:sz w:val="24"/>
                <w:szCs w:val="24"/>
              </w:rPr>
            </w:pPr>
          </w:p>
          <w:p w14:paraId="5ACD5A61" w14:textId="77777777" w:rsidR="00E04360" w:rsidRPr="00CA4BA4" w:rsidRDefault="00E04360" w:rsidP="00675277">
            <w:pPr>
              <w:widowControl/>
              <w:numPr>
                <w:ilvl w:val="0"/>
                <w:numId w:val="6"/>
              </w:numPr>
              <w:tabs>
                <w:tab w:val="left" w:pos="812"/>
              </w:tabs>
              <w:autoSpaceDE/>
              <w:autoSpaceDN/>
              <w:spacing w:line="350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Contribuir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críticas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sugestões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melhoria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normatiza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13111D19" w14:textId="77777777" w:rsidR="00E04360" w:rsidRPr="00CA4BA4" w:rsidRDefault="00E04360" w:rsidP="00675277">
            <w:pPr>
              <w:widowControl/>
              <w:numPr>
                <w:ilvl w:val="0"/>
                <w:numId w:val="6"/>
              </w:numPr>
              <w:tabs>
                <w:tab w:val="left" w:pos="820"/>
              </w:tabs>
              <w:autoSpaceDE/>
              <w:autoSpaceDN/>
              <w:spacing w:line="0" w:lineRule="atLeast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Identificar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novos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tipos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implantação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1296041A" w14:textId="77777777" w:rsidR="00E04360" w:rsidRPr="00CA4BA4" w:rsidRDefault="00E04360" w:rsidP="00675277">
            <w:pPr>
              <w:spacing w:line="146" w:lineRule="exact"/>
              <w:jc w:val="both"/>
              <w:rPr>
                <w:sz w:val="24"/>
                <w:szCs w:val="24"/>
              </w:rPr>
            </w:pPr>
          </w:p>
          <w:p w14:paraId="20281FE1" w14:textId="16F3EEB5" w:rsidR="00E04360" w:rsidRPr="00CA4BA4" w:rsidRDefault="00E04360" w:rsidP="00675277">
            <w:pPr>
              <w:widowControl/>
              <w:numPr>
                <w:ilvl w:val="0"/>
                <w:numId w:val="6"/>
              </w:numPr>
              <w:tabs>
                <w:tab w:val="left" w:pos="812"/>
              </w:tabs>
              <w:autoSpaceDE/>
              <w:autoSpaceDN/>
              <w:spacing w:line="353" w:lineRule="auto"/>
              <w:ind w:firstLine="1134"/>
              <w:jc w:val="both"/>
              <w:rPr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sz w:val="24"/>
                <w:szCs w:val="24"/>
              </w:rPr>
              <w:t>Buscar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estabelecer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parceiras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com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Empresas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Instituições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Organizações</w:t>
            </w:r>
            <w:proofErr w:type="spellEnd"/>
            <w:r w:rsidR="00675277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Governamentais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Governamentais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dentre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entidades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fim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possibilitar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inserções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diversas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3E5BCAB0" w14:textId="77777777" w:rsidR="00E04360" w:rsidRPr="00CA4BA4" w:rsidRDefault="00E04360" w:rsidP="00675277">
            <w:pPr>
              <w:spacing w:line="131" w:lineRule="exact"/>
              <w:jc w:val="both"/>
              <w:rPr>
                <w:sz w:val="24"/>
                <w:szCs w:val="24"/>
              </w:rPr>
            </w:pPr>
          </w:p>
          <w:p w14:paraId="627B9482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9º </w:t>
            </w:r>
            <w:r w:rsidRPr="00CA4BA4">
              <w:rPr>
                <w:rFonts w:eastAsia="Tahoma"/>
                <w:sz w:val="24"/>
                <w:szCs w:val="24"/>
              </w:rPr>
              <w:t xml:space="preserve">-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registro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solicitado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preferencialmente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final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semestre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previsto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Grade Curricular,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semestre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anterior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conclusão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39FD1F83" w14:textId="77777777" w:rsidR="00E04360" w:rsidRPr="00CA4BA4" w:rsidRDefault="00E04360" w:rsidP="00675277">
            <w:pPr>
              <w:spacing w:line="126" w:lineRule="exact"/>
              <w:jc w:val="both"/>
              <w:rPr>
                <w:sz w:val="24"/>
                <w:szCs w:val="24"/>
              </w:rPr>
            </w:pPr>
          </w:p>
          <w:p w14:paraId="3EAEA7BA" w14:textId="77777777" w:rsidR="00E04360" w:rsidRPr="00CA4BA4" w:rsidRDefault="00E04360" w:rsidP="00675277">
            <w:pPr>
              <w:spacing w:line="358" w:lineRule="auto"/>
              <w:ind w:firstLine="1276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10 - </w:t>
            </w:r>
            <w:r w:rsidRPr="00CA4BA4">
              <w:rPr>
                <w:rFonts w:eastAsia="Tahoma"/>
                <w:sz w:val="24"/>
                <w:szCs w:val="24"/>
              </w:rPr>
              <w:t xml:space="preserve">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validação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deverá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entregar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</w:p>
          <w:p w14:paraId="4D655AD1" w14:textId="77777777" w:rsidR="00E04360" w:rsidRPr="00CA4BA4" w:rsidRDefault="00E04360" w:rsidP="00675277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4459F25F" w14:textId="77777777" w:rsidR="00E04360" w:rsidRPr="00CA4BA4" w:rsidRDefault="00E04360" w:rsidP="00675277">
            <w:pPr>
              <w:tabs>
                <w:tab w:val="left" w:pos="800"/>
              </w:tabs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I-</w:t>
            </w:r>
            <w:r w:rsidRPr="00CA4BA4">
              <w:rPr>
                <w:sz w:val="24"/>
                <w:szCs w:val="24"/>
              </w:rPr>
              <w:tab/>
            </w:r>
            <w:r w:rsidRPr="00CA4BA4">
              <w:rPr>
                <w:rFonts w:eastAsia="Tahoma"/>
                <w:sz w:val="24"/>
                <w:szCs w:val="24"/>
              </w:rPr>
              <w:t xml:space="preserve">Um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formulário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específico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preenchido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 conjunto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pretende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validar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49B3F64F" w14:textId="77777777" w:rsidR="00E04360" w:rsidRPr="00CA4BA4" w:rsidRDefault="00E04360" w:rsidP="00675277">
            <w:pPr>
              <w:spacing w:line="14" w:lineRule="exact"/>
              <w:jc w:val="both"/>
              <w:rPr>
                <w:sz w:val="24"/>
                <w:szCs w:val="24"/>
              </w:rPr>
            </w:pPr>
          </w:p>
          <w:p w14:paraId="17FD1FB3" w14:textId="77777777" w:rsidR="00E04360" w:rsidRPr="00CA4BA4" w:rsidRDefault="00E04360" w:rsidP="00675277">
            <w:pPr>
              <w:tabs>
                <w:tab w:val="left" w:pos="800"/>
              </w:tabs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II-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Comprovantes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originais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cópias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autenticadas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certificado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diploma,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declarações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outros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comprovem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64B5D830" w14:textId="77777777" w:rsidR="00E04360" w:rsidRPr="00CA4BA4" w:rsidRDefault="00E04360" w:rsidP="00675277">
            <w:pPr>
              <w:spacing w:line="126" w:lineRule="exact"/>
              <w:jc w:val="both"/>
              <w:rPr>
                <w:sz w:val="24"/>
                <w:szCs w:val="24"/>
              </w:rPr>
            </w:pPr>
          </w:p>
          <w:p w14:paraId="2F339230" w14:textId="77777777" w:rsidR="00E04360" w:rsidRPr="00CA4BA4" w:rsidRDefault="00E04360" w:rsidP="00675277">
            <w:pPr>
              <w:tabs>
                <w:tab w:val="left" w:pos="800"/>
              </w:tabs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III-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qualquer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comprovante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quaisquer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categorias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informações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necessárias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qualificá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-las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permitir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avaliação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validação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: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nome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data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evento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período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outros dados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essenciais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687C12BA" w14:textId="77777777" w:rsidR="00E04360" w:rsidRPr="00CA4BA4" w:rsidRDefault="00E04360" w:rsidP="00675277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7AE75ADC" w14:textId="77777777" w:rsidR="00E04360" w:rsidRPr="005F380C" w:rsidRDefault="00E04360" w:rsidP="00675277">
            <w:pPr>
              <w:tabs>
                <w:tab w:val="left" w:pos="800"/>
              </w:tabs>
              <w:spacing w:line="380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IV-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dados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incompletos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comprobatória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apresentar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justificativa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contendo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uma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descrição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concisa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clara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desenvolvida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relevância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profissional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18959C57" w14:textId="77777777" w:rsidR="00E04360" w:rsidRPr="00CA4BA4" w:rsidRDefault="00E04360" w:rsidP="00675277">
            <w:pPr>
              <w:spacing w:line="262" w:lineRule="exact"/>
              <w:jc w:val="both"/>
              <w:rPr>
                <w:sz w:val="24"/>
                <w:szCs w:val="24"/>
              </w:rPr>
            </w:pPr>
            <w:bookmarkStart w:id="5" w:name="page89"/>
            <w:bookmarkEnd w:id="5"/>
          </w:p>
          <w:p w14:paraId="3E9B772B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11 -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Somente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consideradas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cômputo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horas/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aquelas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enquanto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regularmente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matriculado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o qual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elas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foram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programadas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6D3783FC" w14:textId="77777777" w:rsidR="00E04360" w:rsidRPr="00CA4BA4" w:rsidRDefault="00E04360" w:rsidP="00675277">
            <w:pPr>
              <w:spacing w:line="124" w:lineRule="exact"/>
              <w:jc w:val="both"/>
              <w:rPr>
                <w:sz w:val="24"/>
                <w:szCs w:val="24"/>
              </w:rPr>
            </w:pPr>
          </w:p>
          <w:p w14:paraId="47BD9516" w14:textId="204F856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Parágrafo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único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Poderá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aproveitada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por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oriundos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transferência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outras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IES,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mudança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admitidos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sejam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estreitamente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relacionadas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área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atual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neste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apresentar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documentação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relativa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às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ainda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lastRenderedPageBreak/>
              <w:t>condição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matriculado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Instituição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origem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no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primeiro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semestre</w:t>
            </w:r>
            <w:proofErr w:type="spellEnd"/>
            <w:r w:rsidR="00675277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 xml:space="preserve">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matrícula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, observandooperíodoestabelecidonoCalendárioAcadêmicoparaaproveitamento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de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ahoma"/>
                <w:sz w:val="24"/>
                <w:szCs w:val="24"/>
              </w:rPr>
              <w:t>est</w:t>
            </w:r>
            <w:r w:rsidRPr="00CA4BA4">
              <w:rPr>
                <w:rFonts w:eastAsia="Tahoma"/>
                <w:sz w:val="24"/>
                <w:szCs w:val="24"/>
              </w:rPr>
              <w:t>udos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48D3C889" w14:textId="77777777" w:rsidR="00E04360" w:rsidRPr="00CA4BA4" w:rsidRDefault="00E04360" w:rsidP="00675277">
            <w:pPr>
              <w:spacing w:line="360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12 </w:t>
            </w:r>
            <w:r w:rsidRPr="00CA4BA4">
              <w:rPr>
                <w:rFonts w:eastAsia="Tahoma"/>
                <w:sz w:val="24"/>
                <w:szCs w:val="24"/>
              </w:rPr>
              <w:t xml:space="preserve">-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poderão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programadas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dependências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UNIR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instituições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públicas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privadas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proporcionem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formação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alcance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objetivos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previstos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Art. 3º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desse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7FC11C0A" w14:textId="77777777" w:rsidR="00E04360" w:rsidRPr="00CA4BA4" w:rsidRDefault="00E04360" w:rsidP="00675277">
            <w:pPr>
              <w:spacing w:line="122" w:lineRule="exact"/>
              <w:jc w:val="both"/>
              <w:rPr>
                <w:sz w:val="24"/>
                <w:szCs w:val="24"/>
              </w:rPr>
            </w:pPr>
          </w:p>
          <w:p w14:paraId="2E5D9788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13 </w:t>
            </w:r>
            <w:r w:rsidRPr="00CA4BA4">
              <w:rPr>
                <w:rFonts w:eastAsia="Tahoma"/>
                <w:sz w:val="24"/>
                <w:szCs w:val="24"/>
              </w:rPr>
              <w:t xml:space="preserve">-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Universidade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proporcionará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oportunidades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que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possam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participar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oferecidas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por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Coordenações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578B0576" w14:textId="77777777" w:rsidR="00E04360" w:rsidRPr="00CA4BA4" w:rsidRDefault="00E04360" w:rsidP="00675277">
            <w:pPr>
              <w:spacing w:line="124" w:lineRule="exact"/>
              <w:jc w:val="both"/>
              <w:rPr>
                <w:sz w:val="24"/>
                <w:szCs w:val="24"/>
              </w:rPr>
            </w:pPr>
          </w:p>
          <w:p w14:paraId="0B5D5D88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14 </w:t>
            </w:r>
            <w:r w:rsidRPr="00CA4BA4">
              <w:rPr>
                <w:rFonts w:eastAsia="Tahoma"/>
                <w:sz w:val="24"/>
                <w:szCs w:val="24"/>
              </w:rPr>
              <w:t xml:space="preserve">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/horas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referentes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às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contabilizados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exclusivamente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para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cumprimento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curricular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reservada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gramStart"/>
            <w:r w:rsidRPr="00CA4BA4">
              <w:rPr>
                <w:rFonts w:eastAsia="Tahoma"/>
                <w:sz w:val="24"/>
                <w:szCs w:val="24"/>
              </w:rPr>
              <w:t>a</w:t>
            </w:r>
            <w:proofErr w:type="gram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admitindo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venham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substituir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disciplinas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obrigatórias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curso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graduação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estiver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matriculado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aluno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as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realizou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17D9DFD5" w14:textId="77777777" w:rsidR="00E04360" w:rsidRPr="00CA4BA4" w:rsidRDefault="00E04360" w:rsidP="00675277">
            <w:pPr>
              <w:spacing w:line="125" w:lineRule="exact"/>
              <w:jc w:val="both"/>
              <w:rPr>
                <w:sz w:val="24"/>
                <w:szCs w:val="24"/>
              </w:rPr>
            </w:pPr>
          </w:p>
          <w:p w14:paraId="1C6CB56A" w14:textId="77777777" w:rsidR="00E04360" w:rsidRPr="00CA4BA4" w:rsidRDefault="00E04360" w:rsidP="00675277">
            <w:pPr>
              <w:spacing w:line="359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15 </w:t>
            </w:r>
            <w:r w:rsidRPr="00CA4BA4">
              <w:rPr>
                <w:rFonts w:eastAsia="Tahoma"/>
                <w:sz w:val="24"/>
                <w:szCs w:val="24"/>
              </w:rPr>
              <w:t xml:space="preserve">- 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Complementares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podem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ser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realizadas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6 (seis)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grupos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que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correspondem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à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natureza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a saber,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conforme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quadro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no Anexo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Único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integrante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deste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:</w:t>
            </w:r>
          </w:p>
          <w:p w14:paraId="11785E7B" w14:textId="77777777" w:rsidR="00E04360" w:rsidRPr="00CA4BA4" w:rsidRDefault="00E04360" w:rsidP="00675277">
            <w:pPr>
              <w:spacing w:line="75" w:lineRule="exact"/>
              <w:jc w:val="both"/>
              <w:rPr>
                <w:sz w:val="24"/>
                <w:szCs w:val="24"/>
              </w:rPr>
            </w:pPr>
          </w:p>
          <w:p w14:paraId="51CD4649" w14:textId="77777777" w:rsidR="00E04360" w:rsidRPr="00CA4BA4" w:rsidRDefault="00E04360" w:rsidP="00675277">
            <w:pPr>
              <w:tabs>
                <w:tab w:val="left" w:pos="960"/>
              </w:tabs>
              <w:spacing w:line="0" w:lineRule="atLeast"/>
              <w:ind w:firstLine="1134"/>
              <w:jc w:val="both"/>
              <w:rPr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I-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/ Ensino;</w:t>
            </w:r>
            <w:bookmarkStart w:id="6" w:name="page90"/>
            <w:bookmarkEnd w:id="6"/>
          </w:p>
          <w:p w14:paraId="4B0E41CD" w14:textId="77777777" w:rsidR="00E04360" w:rsidRDefault="00E04360" w:rsidP="00675277">
            <w:pPr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II-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/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Pesquisa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Produção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Científica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; </w:t>
            </w:r>
          </w:p>
          <w:p w14:paraId="7CFF22CC" w14:textId="77777777" w:rsidR="00E04360" w:rsidRPr="00CA4BA4" w:rsidRDefault="00E04360" w:rsidP="00675277">
            <w:pPr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 xml:space="preserve">III-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Geral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62E6D754" w14:textId="77777777" w:rsidR="00E04360" w:rsidRPr="00CA4BA4" w:rsidRDefault="00E04360" w:rsidP="00675277">
            <w:pPr>
              <w:tabs>
                <w:tab w:val="left" w:pos="1134"/>
              </w:tabs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CA4BA4">
              <w:rPr>
                <w:sz w:val="24"/>
                <w:szCs w:val="24"/>
              </w:rPr>
              <w:t>-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/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Extensão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4CDFAF05" w14:textId="77777777" w:rsidR="00E04360" w:rsidRPr="00CA4BA4" w:rsidRDefault="00E04360" w:rsidP="00675277">
            <w:pPr>
              <w:spacing w:line="108" w:lineRule="exact"/>
              <w:jc w:val="both"/>
              <w:rPr>
                <w:sz w:val="24"/>
                <w:szCs w:val="24"/>
              </w:rPr>
            </w:pPr>
          </w:p>
          <w:p w14:paraId="3C4A362C" w14:textId="77777777" w:rsidR="00E04360" w:rsidRPr="00CA4BA4" w:rsidRDefault="00E04360" w:rsidP="00675277">
            <w:pPr>
              <w:tabs>
                <w:tab w:val="left" w:pos="960"/>
              </w:tabs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V-</w:t>
            </w:r>
            <w:r w:rsidRPr="00CA4BA4">
              <w:rPr>
                <w:sz w:val="24"/>
                <w:szCs w:val="24"/>
              </w:rPr>
              <w:tab/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/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Esportivo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;</w:t>
            </w:r>
          </w:p>
          <w:p w14:paraId="060D0A48" w14:textId="77777777" w:rsidR="00E04360" w:rsidRPr="00CA4BA4" w:rsidRDefault="00E04360" w:rsidP="00675277">
            <w:pPr>
              <w:spacing w:line="108" w:lineRule="exact"/>
              <w:jc w:val="both"/>
              <w:rPr>
                <w:sz w:val="24"/>
                <w:szCs w:val="24"/>
              </w:rPr>
            </w:pPr>
          </w:p>
          <w:p w14:paraId="3D502CE5" w14:textId="77777777" w:rsidR="00E04360" w:rsidRPr="00CA4BA4" w:rsidRDefault="00E04360" w:rsidP="00675277">
            <w:pPr>
              <w:tabs>
                <w:tab w:val="left" w:pos="960"/>
              </w:tabs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sz w:val="24"/>
                <w:szCs w:val="24"/>
              </w:rPr>
              <w:t>VI-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Acadêmico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/ Cultural.</w:t>
            </w:r>
          </w:p>
          <w:p w14:paraId="47D724A2" w14:textId="77777777" w:rsidR="00E04360" w:rsidRPr="00CA4BA4" w:rsidRDefault="00E04360" w:rsidP="00675277">
            <w:pPr>
              <w:spacing w:line="157" w:lineRule="exact"/>
              <w:jc w:val="both"/>
              <w:rPr>
                <w:sz w:val="24"/>
                <w:szCs w:val="24"/>
              </w:rPr>
            </w:pPr>
          </w:p>
          <w:p w14:paraId="23A533B8" w14:textId="77777777" w:rsidR="00E04360" w:rsidRPr="00CA4BA4" w:rsidRDefault="00E04360" w:rsidP="00675277">
            <w:pPr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Parágrafo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b/>
                <w:sz w:val="24"/>
                <w:szCs w:val="24"/>
              </w:rPr>
              <w:t>único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-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carga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horária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horas/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créditos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total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deverá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abranger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atividades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constantes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menos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dois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dos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grupos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descritos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neste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artigo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13BDDDA8" w14:textId="77777777" w:rsidR="00E04360" w:rsidRPr="00CA4BA4" w:rsidRDefault="00E04360" w:rsidP="00675277">
            <w:pPr>
              <w:spacing w:line="123" w:lineRule="exact"/>
              <w:jc w:val="both"/>
              <w:rPr>
                <w:sz w:val="24"/>
                <w:szCs w:val="24"/>
              </w:rPr>
            </w:pPr>
          </w:p>
          <w:p w14:paraId="75ED3844" w14:textId="77777777" w:rsidR="00E04360" w:rsidRPr="00CA4BA4" w:rsidRDefault="00E04360" w:rsidP="00675277">
            <w:pPr>
              <w:spacing w:line="0" w:lineRule="atLeast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 16 </w:t>
            </w:r>
            <w:r w:rsidRPr="00CA4BA4">
              <w:rPr>
                <w:rFonts w:eastAsia="Tahoma"/>
                <w:sz w:val="24"/>
                <w:szCs w:val="24"/>
              </w:rPr>
              <w:t>–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casos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omissos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neste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serão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dirimidos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pelo</w:t>
            </w:r>
            <w:proofErr w:type="spellEnd"/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CONDEP.</w:t>
            </w:r>
          </w:p>
          <w:p w14:paraId="2894786C" w14:textId="77777777" w:rsidR="00E04360" w:rsidRPr="00CA4BA4" w:rsidRDefault="00E04360" w:rsidP="00675277">
            <w:pPr>
              <w:spacing w:line="266" w:lineRule="exact"/>
              <w:jc w:val="both"/>
              <w:rPr>
                <w:sz w:val="24"/>
                <w:szCs w:val="24"/>
              </w:rPr>
            </w:pPr>
          </w:p>
          <w:p w14:paraId="62DC9A7A" w14:textId="77777777" w:rsidR="00E04360" w:rsidRPr="00CA4BA4" w:rsidRDefault="00E04360" w:rsidP="00675277">
            <w:pPr>
              <w:spacing w:line="358" w:lineRule="auto"/>
              <w:ind w:firstLine="1134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b/>
                <w:sz w:val="24"/>
                <w:szCs w:val="24"/>
              </w:rPr>
              <w:t xml:space="preserve">Art.17- </w:t>
            </w:r>
            <w:r w:rsidRPr="00CA4BA4">
              <w:rPr>
                <w:rFonts w:eastAsia="Tahoma"/>
                <w:sz w:val="24"/>
                <w:szCs w:val="24"/>
              </w:rPr>
              <w:t xml:space="preserve">Este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Regulamento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entrará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em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vigor a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partir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 xml:space="preserve"> da data de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sua</w:t>
            </w:r>
            <w:proofErr w:type="spellEnd"/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proofErr w:type="spellStart"/>
            <w:r w:rsidRPr="00CA4BA4">
              <w:rPr>
                <w:rFonts w:eastAsia="Tahoma"/>
                <w:sz w:val="24"/>
                <w:szCs w:val="24"/>
              </w:rPr>
              <w:t>aprovação</w:t>
            </w:r>
            <w:proofErr w:type="spellEnd"/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118F9F38" w14:textId="60C5620D" w:rsidR="0046742B" w:rsidRPr="00E04360" w:rsidRDefault="0046742B" w:rsidP="00675277">
            <w:pPr>
              <w:spacing w:line="356" w:lineRule="auto"/>
              <w:jc w:val="both"/>
              <w:rPr>
                <w:b/>
                <w:sz w:val="24"/>
                <w:lang w:val="pt-BR"/>
              </w:rPr>
            </w:pPr>
          </w:p>
        </w:tc>
      </w:tr>
    </w:tbl>
    <w:p w14:paraId="09DB924F" w14:textId="77777777" w:rsidR="00120A29" w:rsidRDefault="00120A29" w:rsidP="00675277">
      <w:pPr>
        <w:jc w:val="both"/>
      </w:pPr>
    </w:p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hybridMultilevel"/>
    <w:tmpl w:val="46B7D44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C"/>
    <w:multiLevelType w:val="hybridMultilevel"/>
    <w:tmpl w:val="4A2AC31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9EE01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7FC4FB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0CC1016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3F1842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53A24"/>
    <w:rsid w:val="00117E2F"/>
    <w:rsid w:val="00120A29"/>
    <w:rsid w:val="00272380"/>
    <w:rsid w:val="003268B4"/>
    <w:rsid w:val="0040021D"/>
    <w:rsid w:val="0046742B"/>
    <w:rsid w:val="00675277"/>
    <w:rsid w:val="00734C96"/>
    <w:rsid w:val="008445FB"/>
    <w:rsid w:val="00A412D8"/>
    <w:rsid w:val="00BF1488"/>
    <w:rsid w:val="00C60536"/>
    <w:rsid w:val="00D94D83"/>
    <w:rsid w:val="00E04360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04360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E04360"/>
    <w:rPr>
      <w:rFonts w:ascii="Calibri" w:eastAsia="Times New Roman" w:hAnsi="Calibri" w:cs="Times New Roman"/>
      <w:b/>
      <w:bCs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1792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16</cp:revision>
  <cp:lastPrinted>2019-04-09T19:19:00Z</cp:lastPrinted>
  <dcterms:created xsi:type="dcterms:W3CDTF">2018-01-16T12:56:00Z</dcterms:created>
  <dcterms:modified xsi:type="dcterms:W3CDTF">2019-04-11T13:14:00Z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