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B854EA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B854EA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68019E2F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2611BA" w:rsidRPr="002611BA">
              <w:rPr>
                <w:spacing w:val="-5"/>
                <w:sz w:val="24"/>
                <w:lang w:val="pt-BR"/>
              </w:rPr>
              <w:t>Ludicidade e Educação</w:t>
            </w:r>
            <w:r w:rsidR="00B747E0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2611BA">
              <w:rPr>
                <w:sz w:val="24"/>
                <w:lang w:val="pt-BR"/>
              </w:rPr>
              <w:t>3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2611BA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049504AD" w:rsidR="0046742B" w:rsidRPr="00E064D0" w:rsidRDefault="00120A29" w:rsidP="002611BA">
            <w:pPr>
              <w:spacing w:line="360" w:lineRule="auto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2611BA" w:rsidRPr="00CA4BA4">
              <w:rPr>
                <w:rFonts w:eastAsia="Tahoma"/>
                <w:color w:val="222222"/>
                <w:sz w:val="24"/>
                <w:szCs w:val="24"/>
              </w:rPr>
              <w:t xml:space="preserve">Ludicidade: contexto histórico e cultural. Contribuições dos teóricos sobre o brincar. O brincar e o universo infantil na formação do sujeito histórico e social. A brincadeira: o significado do faz de conta na vida da criança. Jogo, brinquedo e brincadeira como recurso pedagógico no processo ensino-aprendizagem. Classificação e utilização dos jogos. </w:t>
            </w:r>
            <w:r w:rsidR="002611BA" w:rsidRPr="00CA4BA4">
              <w:rPr>
                <w:rFonts w:eastAsia="Tahoma"/>
                <w:color w:val="000000"/>
                <w:sz w:val="24"/>
                <w:szCs w:val="24"/>
              </w:rPr>
              <w:t>Brinquedoteca: espaços lúdicos de</w:t>
            </w:r>
            <w:r w:rsidR="002611BA" w:rsidRPr="00CA4BA4"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="002611BA" w:rsidRPr="00CA4BA4">
              <w:rPr>
                <w:rFonts w:eastAsia="Tahoma"/>
                <w:color w:val="000000"/>
                <w:sz w:val="24"/>
                <w:szCs w:val="24"/>
              </w:rPr>
              <w:t>aprendizagem.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5ADE47B0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42BE60FF" w14:textId="77777777" w:rsidR="002611BA" w:rsidRPr="00CA4BA4" w:rsidRDefault="002611BA" w:rsidP="002611BA">
            <w:pPr>
              <w:spacing w:line="358" w:lineRule="auto"/>
              <w:jc w:val="both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>CÓRIA-SABINI, Maria Aparecida; LUCENA, Regina Ferreira de. J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ogos e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brincadeiras na educação infantil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. Campinas, SP: Papirus, 2004.</w:t>
            </w:r>
          </w:p>
          <w:p w14:paraId="1C9BDC2C" w14:textId="77777777" w:rsidR="002611BA" w:rsidRPr="00CA4BA4" w:rsidRDefault="002611BA" w:rsidP="002611BA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225A4D0B" w14:textId="77777777" w:rsidR="002611BA" w:rsidRPr="00CA4BA4" w:rsidRDefault="002611BA" w:rsidP="002611BA">
            <w:pPr>
              <w:spacing w:line="358" w:lineRule="auto"/>
              <w:jc w:val="both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KISHIMOTO, T.M. (Org.).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Jogo, brinquedo, brincadeira e a educação.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 8 ed. São Paulo: Cortez, 2005.</w:t>
            </w:r>
          </w:p>
          <w:p w14:paraId="7D4A564A" w14:textId="77777777" w:rsidR="002611BA" w:rsidRPr="00CA4BA4" w:rsidRDefault="002611BA" w:rsidP="002611BA">
            <w:pPr>
              <w:spacing w:line="123" w:lineRule="exact"/>
              <w:jc w:val="both"/>
              <w:rPr>
                <w:sz w:val="24"/>
                <w:szCs w:val="24"/>
              </w:rPr>
            </w:pPr>
          </w:p>
          <w:p w14:paraId="27013A2D" w14:textId="1BB78576" w:rsidR="002611BA" w:rsidRPr="00CA4BA4" w:rsidRDefault="002611BA" w:rsidP="002611BA">
            <w:pPr>
              <w:spacing w:line="0" w:lineRule="atLeast"/>
              <w:jc w:val="both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RAU,  M.  C.  T.  D.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A ludicidade na educação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:  uma  atitude  pedagógica.  2  ed.</w:t>
            </w:r>
            <w:r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Curitiba: Ibpex, 2011.</w:t>
            </w:r>
          </w:p>
          <w:p w14:paraId="1C71223A" w14:textId="77777777" w:rsidR="00B747E0" w:rsidRDefault="00B747E0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</w:p>
          <w:p w14:paraId="693BD73E" w14:textId="07B6F4B5" w:rsid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10D6677F" w14:textId="77777777" w:rsidR="002B19E9" w:rsidRDefault="002B19E9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</w:p>
          <w:p w14:paraId="7980E688" w14:textId="0D7DDE1D" w:rsidR="002611BA" w:rsidRPr="00CA4BA4" w:rsidRDefault="002611BA" w:rsidP="002611BA">
            <w:pPr>
              <w:tabs>
                <w:tab w:val="left" w:pos="1580"/>
                <w:tab w:val="left" w:pos="2700"/>
              </w:tabs>
              <w:spacing w:line="0" w:lineRule="atLeast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>HUIZINGA,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ab/>
              <w:t xml:space="preserve">J.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Homo</w:t>
            </w:r>
            <w:r w:rsidRPr="00CA4BA4">
              <w:rPr>
                <w:sz w:val="24"/>
                <w:szCs w:val="24"/>
              </w:rPr>
              <w:tab/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l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udens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:  O  jogo  como  elemento  da  cultura.  São  Paulo:</w:t>
            </w:r>
            <w:r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Perspectiva</w:t>
            </w:r>
            <w:r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S.A, 1996.</w:t>
            </w:r>
            <w:bookmarkStart w:id="0" w:name="_GoBack"/>
            <w:bookmarkEnd w:id="0"/>
          </w:p>
          <w:p w14:paraId="6118E57E" w14:textId="77777777" w:rsidR="002611BA" w:rsidRPr="00CA4BA4" w:rsidRDefault="002611BA" w:rsidP="002611BA">
            <w:pPr>
              <w:spacing w:line="265" w:lineRule="exact"/>
              <w:rPr>
                <w:sz w:val="24"/>
                <w:szCs w:val="24"/>
              </w:rPr>
            </w:pPr>
          </w:p>
          <w:p w14:paraId="47317E46" w14:textId="2B87BA1C" w:rsidR="002611BA" w:rsidRPr="00CA4BA4" w:rsidRDefault="002611BA" w:rsidP="002611BA">
            <w:pPr>
              <w:spacing w:line="0" w:lineRule="atLeast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MACEDO,  L. 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Os jogos e o lúdico na aprendizagem escolar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.  Porto  Alegre:</w:t>
            </w:r>
            <w:r>
              <w:rPr>
                <w:rFonts w:eastAsia="Tahoma"/>
                <w:color w:val="222222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Artmed, 2005.</w:t>
            </w:r>
          </w:p>
          <w:p w14:paraId="50C61E3E" w14:textId="77777777" w:rsidR="002611BA" w:rsidRPr="00CA4BA4" w:rsidRDefault="002611BA" w:rsidP="002611BA">
            <w:pPr>
              <w:spacing w:line="0" w:lineRule="atLeast"/>
              <w:rPr>
                <w:rFonts w:eastAsia="Tahoma"/>
                <w:color w:val="222222"/>
                <w:sz w:val="24"/>
                <w:szCs w:val="24"/>
              </w:rPr>
            </w:pPr>
          </w:p>
          <w:p w14:paraId="5B83100E" w14:textId="77777777" w:rsidR="002611BA" w:rsidRPr="00CA4BA4" w:rsidRDefault="002611BA" w:rsidP="002611BA">
            <w:pPr>
              <w:spacing w:line="0" w:lineRule="atLeast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RAMOS, L. </w:t>
            </w:r>
            <w:r w:rsidRPr="002611BA">
              <w:rPr>
                <w:rFonts w:eastAsia="Tahoma"/>
                <w:b/>
                <w:color w:val="222222"/>
                <w:sz w:val="24"/>
                <w:szCs w:val="24"/>
              </w:rPr>
              <w:t>Conversa sobre números, ações e operações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. São Paulo: Editora Ática, 2009.</w:t>
            </w:r>
          </w:p>
          <w:p w14:paraId="4E0BD9A1" w14:textId="77777777" w:rsidR="002611BA" w:rsidRPr="00CA4BA4" w:rsidRDefault="002611BA" w:rsidP="002611BA">
            <w:pPr>
              <w:spacing w:line="266" w:lineRule="exact"/>
              <w:rPr>
                <w:sz w:val="24"/>
                <w:szCs w:val="24"/>
              </w:rPr>
            </w:pPr>
          </w:p>
          <w:p w14:paraId="37A8C896" w14:textId="1D9C6547" w:rsidR="002611BA" w:rsidRPr="00CA4BA4" w:rsidRDefault="002611BA" w:rsidP="002611BA">
            <w:pPr>
              <w:spacing w:line="358" w:lineRule="auto"/>
              <w:ind w:right="560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SANTA. Marli Pires dos Santos. 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 xml:space="preserve">A </w:t>
            </w:r>
            <w:r>
              <w:rPr>
                <w:rFonts w:eastAsia="Tahoma"/>
                <w:b/>
                <w:color w:val="222222"/>
                <w:sz w:val="24"/>
                <w:szCs w:val="24"/>
              </w:rPr>
              <w:t>l</w:t>
            </w:r>
            <w:r w:rsidRPr="00CA4BA4">
              <w:rPr>
                <w:rFonts w:eastAsia="Tahoma"/>
                <w:b/>
                <w:color w:val="222222"/>
                <w:sz w:val="24"/>
                <w:szCs w:val="24"/>
              </w:rPr>
              <w:t>udicidade como ciência.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 Petrópolis: Vozes, 2001</w:t>
            </w:r>
          </w:p>
          <w:p w14:paraId="6123E6D3" w14:textId="77777777" w:rsidR="002611BA" w:rsidRPr="00CA4BA4" w:rsidRDefault="002611BA" w:rsidP="002611BA">
            <w:pPr>
              <w:spacing w:line="358" w:lineRule="auto"/>
              <w:ind w:right="560"/>
              <w:rPr>
                <w:rFonts w:eastAsia="Tahoma"/>
                <w:color w:val="222222"/>
                <w:sz w:val="24"/>
                <w:szCs w:val="24"/>
              </w:rPr>
            </w:pPr>
            <w:r w:rsidRPr="00CA4BA4">
              <w:rPr>
                <w:rFonts w:eastAsia="Tahoma"/>
                <w:color w:val="222222"/>
                <w:sz w:val="24"/>
                <w:szCs w:val="24"/>
              </w:rPr>
              <w:t xml:space="preserve">SANTOS, S. </w:t>
            </w:r>
            <w:r w:rsidRPr="002611BA">
              <w:rPr>
                <w:rFonts w:eastAsia="Tahoma"/>
                <w:b/>
                <w:color w:val="222222"/>
                <w:sz w:val="24"/>
                <w:szCs w:val="24"/>
              </w:rPr>
              <w:t>Brinquedoteca</w:t>
            </w:r>
            <w:r w:rsidRPr="00CA4BA4">
              <w:rPr>
                <w:rFonts w:eastAsia="Tahoma"/>
                <w:color w:val="222222"/>
                <w:sz w:val="24"/>
                <w:szCs w:val="24"/>
              </w:rPr>
              <w:t>: o lúdico em diferentes contextos. Petrópolis: Vozes, 1997.</w:t>
            </w:r>
          </w:p>
          <w:p w14:paraId="0A44E6D1" w14:textId="0C82BCEB" w:rsidR="0046742B" w:rsidRDefault="0046742B" w:rsidP="002611BA">
            <w:pPr>
              <w:tabs>
                <w:tab w:val="left" w:pos="1400"/>
                <w:tab w:val="left" w:pos="2440"/>
                <w:tab w:val="left" w:pos="3320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2611BA"/>
    <w:rsid w:val="002B19E9"/>
    <w:rsid w:val="0039049D"/>
    <w:rsid w:val="0046742B"/>
    <w:rsid w:val="007E1B9B"/>
    <w:rsid w:val="008445FB"/>
    <w:rsid w:val="00870ED2"/>
    <w:rsid w:val="00A412D8"/>
    <w:rsid w:val="00B747E0"/>
    <w:rsid w:val="00B854EA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15</cp:revision>
  <cp:lastPrinted>2019-04-09T20:26:00Z</cp:lastPrinted>
  <dcterms:created xsi:type="dcterms:W3CDTF">2018-01-16T12:56:00Z</dcterms:created>
  <dcterms:modified xsi:type="dcterms:W3CDTF">2019-04-09T20:49:00Z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