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255B7A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255B7A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1AEDB0C5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proofErr w:type="gramStart"/>
            <w:r w:rsidR="00BD5DF2" w:rsidRPr="00BD5DF2">
              <w:rPr>
                <w:spacing w:val="-5"/>
                <w:sz w:val="24"/>
                <w:lang w:val="pt-BR"/>
              </w:rPr>
              <w:t>Sociolinguística</w:t>
            </w:r>
            <w:r w:rsidR="00E351E2">
              <w:rPr>
                <w:rFonts w:eastAsia="Tahoma"/>
                <w:sz w:val="24"/>
                <w:szCs w:val="24"/>
              </w:rPr>
              <w:t xml:space="preserve">  </w:t>
            </w:r>
            <w:r w:rsidRPr="00E064D0">
              <w:rPr>
                <w:sz w:val="24"/>
                <w:lang w:val="pt-BR"/>
              </w:rPr>
              <w:t>-</w:t>
            </w:r>
            <w:proofErr w:type="gramEnd"/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BD5DF2">
              <w:rPr>
                <w:spacing w:val="58"/>
                <w:sz w:val="24"/>
                <w:lang w:val="pt-BR"/>
              </w:rPr>
              <w:t>2</w:t>
            </w:r>
            <w:r w:rsidR="000B21C1">
              <w:rPr>
                <w:sz w:val="24"/>
                <w:lang w:val="pt-BR"/>
              </w:rPr>
              <w:t xml:space="preserve">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BD5DF2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56FBEA78" w:rsidR="0046742B" w:rsidRPr="00E064D0" w:rsidRDefault="00120A29" w:rsidP="00EE0306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Características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sociolinguísticas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brasileira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Diversidade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linguística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pluralidade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cultural. A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variação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linguística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sala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de aula. A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comunidade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fala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brasileira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grupos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etários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gênero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status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econômico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grau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escolarização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mercado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trabalho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redes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sociais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Variações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Português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Brasileiro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processo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urbanização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processos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oralidade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versus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letramento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monitoração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estilística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(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ambiente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, interlocutor e </w:t>
            </w:r>
            <w:proofErr w:type="spellStart"/>
            <w:r w:rsidR="00EE0306" w:rsidRPr="00CA4BA4">
              <w:rPr>
                <w:rFonts w:eastAsia="Tahoma"/>
                <w:sz w:val="24"/>
                <w:szCs w:val="24"/>
              </w:rPr>
              <w:t>tópico</w:t>
            </w:r>
            <w:proofErr w:type="spellEnd"/>
            <w:r w:rsidR="00EE0306" w:rsidRPr="00CA4BA4">
              <w:rPr>
                <w:rFonts w:eastAsia="Tahoma"/>
                <w:sz w:val="24"/>
                <w:szCs w:val="24"/>
              </w:rPr>
              <w:t xml:space="preserve"> da conversa).</w:t>
            </w:r>
            <w:bookmarkStart w:id="0" w:name="page78"/>
            <w:bookmarkEnd w:id="0"/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4FF25ECA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717AE0A3" w14:textId="473471D1" w:rsidR="009C3AB2" w:rsidRPr="00CA4BA4" w:rsidRDefault="009C3AB2" w:rsidP="009C3AB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BAGNO</w:t>
            </w:r>
            <w:r w:rsidRPr="00CA4BA4">
              <w:rPr>
                <w:rFonts w:eastAsia="Tahoma"/>
                <w:sz w:val="24"/>
                <w:szCs w:val="24"/>
              </w:rPr>
              <w:t xml:space="preserve">, Marcos.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Língua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materna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letramento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variação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ensino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Parábola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Editorial, 2004</w:t>
            </w:r>
          </w:p>
          <w:p w14:paraId="77920A0B" w14:textId="77777777" w:rsidR="009C3AB2" w:rsidRPr="00CA4BA4" w:rsidRDefault="009C3AB2" w:rsidP="009C3AB2">
            <w:pPr>
              <w:spacing w:line="358" w:lineRule="auto"/>
              <w:ind w:right="20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CALVET, Louis-Jean.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Sociolinguística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introdução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crítica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Parábola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2002.</w:t>
            </w:r>
          </w:p>
          <w:p w14:paraId="4446E382" w14:textId="55AF446C" w:rsidR="009C3AB2" w:rsidRPr="00CA4BA4" w:rsidRDefault="009C3AB2" w:rsidP="009C3AB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Bortoni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-Ricardo, Stella Maris.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língua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materna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r w:rsidRPr="009C3AB2">
              <w:rPr>
                <w:rFonts w:eastAsia="Tahoma"/>
                <w:sz w:val="24"/>
                <w:szCs w:val="24"/>
              </w:rPr>
              <w:t xml:space="preserve">a </w:t>
            </w:r>
            <w:proofErr w:type="spellStart"/>
            <w:r w:rsidRPr="009C3AB2">
              <w:rPr>
                <w:rFonts w:eastAsia="Tahoma"/>
                <w:sz w:val="24"/>
                <w:szCs w:val="24"/>
              </w:rPr>
              <w:t>sociolinguística</w:t>
            </w:r>
            <w:proofErr w:type="spellEnd"/>
            <w:r w:rsidRPr="009C3AB2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9C3AB2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9C3AB2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9C3AB2">
              <w:rPr>
                <w:rFonts w:eastAsia="Tahoma"/>
                <w:sz w:val="24"/>
                <w:szCs w:val="24"/>
              </w:rPr>
              <w:t>sala</w:t>
            </w:r>
            <w:proofErr w:type="spellEnd"/>
            <w:r w:rsidRPr="009C3AB2">
              <w:rPr>
                <w:rFonts w:eastAsia="Tahoma"/>
                <w:sz w:val="24"/>
                <w:szCs w:val="24"/>
              </w:rPr>
              <w:t xml:space="preserve"> de aula.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 </w:t>
            </w:r>
            <w:r w:rsidRPr="00CA4BA4">
              <w:rPr>
                <w:rFonts w:eastAsia="Tahoma"/>
                <w:sz w:val="24"/>
                <w:szCs w:val="24"/>
              </w:rPr>
              <w:t xml:space="preserve">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Parábola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Editorial, 2004.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71A390D" w14:textId="679684AD" w:rsidR="00255B7A" w:rsidRPr="00CA4BA4" w:rsidRDefault="00255B7A" w:rsidP="00255B7A">
            <w:pPr>
              <w:spacing w:line="358" w:lineRule="auto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BAGNO</w:t>
            </w:r>
            <w:r w:rsidRPr="00CA4BA4">
              <w:rPr>
                <w:rFonts w:eastAsia="Tahoma"/>
                <w:sz w:val="24"/>
                <w:szCs w:val="24"/>
              </w:rPr>
              <w:t xml:space="preserve">, Marcos.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Dramática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língua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portuguesa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2</w:t>
            </w:r>
            <w:r>
              <w:rPr>
                <w:rFonts w:eastAsia="Tahoma"/>
                <w:sz w:val="24"/>
                <w:szCs w:val="24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 xml:space="preserve">ed.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Edições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Loyola, 2002.</w:t>
            </w:r>
          </w:p>
          <w:p w14:paraId="040B7FD8" w14:textId="77777777" w:rsidR="00255B7A" w:rsidRPr="00CA4BA4" w:rsidRDefault="00255B7A" w:rsidP="00255B7A">
            <w:pPr>
              <w:spacing w:line="245" w:lineRule="exact"/>
              <w:rPr>
                <w:sz w:val="24"/>
                <w:szCs w:val="24"/>
              </w:rPr>
            </w:pPr>
          </w:p>
          <w:p w14:paraId="483425F5" w14:textId="2C67CAE9" w:rsidR="00255B7A" w:rsidRPr="00CA4BA4" w:rsidRDefault="00255B7A" w:rsidP="00255B7A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BORTONI-RICARDO</w:t>
            </w:r>
            <w:r w:rsidRPr="00CA4BA4">
              <w:rPr>
                <w:rFonts w:eastAsia="Tahoma"/>
                <w:sz w:val="24"/>
                <w:szCs w:val="24"/>
              </w:rPr>
              <w:t xml:space="preserve">, Stella Maris.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Noischeguemu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>, e agora?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Sociolinguística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Parábola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Editoral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2005.</w:t>
            </w:r>
          </w:p>
          <w:p w14:paraId="13A11374" w14:textId="432637C4" w:rsidR="00255B7A" w:rsidRPr="005F380C" w:rsidRDefault="00255B7A" w:rsidP="00255B7A">
            <w:pPr>
              <w:spacing w:line="358" w:lineRule="auto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LERNER, D</w:t>
            </w:r>
            <w:r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Ler</w:t>
            </w:r>
            <w:proofErr w:type="spellEnd"/>
            <w:r w:rsidRPr="00255B7A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escrever</w:t>
            </w:r>
            <w:proofErr w:type="spellEnd"/>
            <w:r w:rsidRPr="00255B7A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255B7A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o real,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possível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necessário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2002.</w:t>
            </w:r>
          </w:p>
          <w:p w14:paraId="25740EC0" w14:textId="77777777" w:rsidR="00255B7A" w:rsidRPr="00CA4BA4" w:rsidRDefault="00255B7A" w:rsidP="00255B7A">
            <w:pPr>
              <w:spacing w:line="360" w:lineRule="auto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SILVA, Rosa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Virgínia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M.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Ensaios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sócio-história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português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brasileiro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Parábola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2004.</w:t>
            </w:r>
          </w:p>
          <w:p w14:paraId="0A44E6D1" w14:textId="2C3637DD" w:rsidR="0046742B" w:rsidRDefault="00255B7A" w:rsidP="00255B7A">
            <w:pPr>
              <w:spacing w:line="360" w:lineRule="auto"/>
              <w:rPr>
                <w:b/>
                <w:sz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WEISZ, T. </w:t>
            </w:r>
            <w:r w:rsidRPr="00255B7A">
              <w:rPr>
                <w:rFonts w:eastAsia="Tahoma"/>
                <w:b/>
                <w:sz w:val="24"/>
                <w:szCs w:val="24"/>
              </w:rPr>
              <w:t xml:space="preserve">O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diálogo</w:t>
            </w:r>
            <w:proofErr w:type="spellEnd"/>
            <w:r w:rsidRPr="00255B7A">
              <w:rPr>
                <w:rFonts w:eastAsia="Tahoma"/>
                <w:b/>
                <w:sz w:val="24"/>
                <w:szCs w:val="24"/>
              </w:rPr>
              <w:t xml:space="preserve"> entre o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ensino</w:t>
            </w:r>
            <w:proofErr w:type="spellEnd"/>
            <w:r w:rsidRPr="00255B7A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255B7A">
              <w:rPr>
                <w:rFonts w:eastAsia="Tahoma"/>
                <w:b/>
                <w:sz w:val="24"/>
                <w:szCs w:val="24"/>
              </w:rPr>
              <w:t>aprendizagem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2003.</w:t>
            </w:r>
            <w:bookmarkStart w:id="1" w:name="_GoBack"/>
            <w:bookmarkEnd w:id="1"/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255B7A"/>
    <w:rsid w:val="002611BA"/>
    <w:rsid w:val="002B19E9"/>
    <w:rsid w:val="00330F49"/>
    <w:rsid w:val="0039049D"/>
    <w:rsid w:val="003C6116"/>
    <w:rsid w:val="0046742B"/>
    <w:rsid w:val="00746A68"/>
    <w:rsid w:val="007E1B9B"/>
    <w:rsid w:val="008445FB"/>
    <w:rsid w:val="00870ED2"/>
    <w:rsid w:val="009B51EB"/>
    <w:rsid w:val="009C3AB2"/>
    <w:rsid w:val="00A34C73"/>
    <w:rsid w:val="00A412D8"/>
    <w:rsid w:val="00B747E0"/>
    <w:rsid w:val="00B854EA"/>
    <w:rsid w:val="00BD5DF2"/>
    <w:rsid w:val="00BF1488"/>
    <w:rsid w:val="00C60536"/>
    <w:rsid w:val="00D94D83"/>
    <w:rsid w:val="00E064D0"/>
    <w:rsid w:val="00E351E2"/>
    <w:rsid w:val="00EE0306"/>
    <w:rsid w:val="00F72F8F"/>
    <w:rsid w:val="00FA5D3A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29</cp:revision>
  <cp:lastPrinted>2019-04-09T20:26:00Z</cp:lastPrinted>
  <dcterms:created xsi:type="dcterms:W3CDTF">2018-01-16T12:56:00Z</dcterms:created>
  <dcterms:modified xsi:type="dcterms:W3CDTF">2019-04-09T21:36:00Z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