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B939D4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B939D4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0E67CD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0E67CD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0E67CD" w:rsidRPr="000E67CD">
              <w:rPr>
                <w:spacing w:val="-5"/>
                <w:sz w:val="24"/>
                <w:lang w:val="pt-BR"/>
              </w:rPr>
              <w:t>Metodologia do Ensino da Arte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825DA5">
              <w:rPr>
                <w:spacing w:val="58"/>
                <w:sz w:val="24"/>
                <w:lang w:val="pt-BR"/>
              </w:rPr>
              <w:t xml:space="preserve"> 3</w:t>
            </w:r>
            <w:r w:rsidR="00825DA5">
              <w:rPr>
                <w:sz w:val="24"/>
                <w:lang w:val="pt-BR"/>
              </w:rPr>
              <w:tab/>
              <w:t>CH: 6</w:t>
            </w:r>
            <w:bookmarkStart w:id="0" w:name="_GoBack"/>
            <w:bookmarkEnd w:id="0"/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0E67CD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825DA5">
            <w:pPr>
              <w:spacing w:line="359" w:lineRule="auto"/>
              <w:ind w:right="20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825DA5" w:rsidRPr="00825DA5">
              <w:rPr>
                <w:rFonts w:eastAsia="Tahoma"/>
                <w:sz w:val="24"/>
                <w:szCs w:val="24"/>
                <w:lang w:val="pt-BR"/>
              </w:rPr>
              <w:t>O Significado da Arte em Educação. A História da Arte em Educação. A Criança, a Cotidianidade e as Aulas de Arte. A Expressividade Infantil. Percepção, Imaginação e Fantasia nas Aulas de Arte. O Lúdico nas Aulas de Arte. A Formação Artística e</w:t>
            </w:r>
            <w:bookmarkStart w:id="1" w:name="page54"/>
            <w:bookmarkEnd w:id="1"/>
            <w:r w:rsidR="00825DA5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825DA5" w:rsidRPr="00825DA5">
              <w:rPr>
                <w:rFonts w:eastAsia="Tahoma"/>
                <w:sz w:val="24"/>
                <w:szCs w:val="24"/>
                <w:lang w:val="pt-BR"/>
              </w:rPr>
              <w:t>Estética de Crianças na Escola. Encaminhamentos para Organizar a Prática Educativa Escolar em Arte com Crianças.</w:t>
            </w:r>
          </w:p>
        </w:tc>
      </w:tr>
      <w:tr w:rsidR="0046742B" w:rsidRPr="000E67CD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Pr="00365328" w:rsidRDefault="00365328" w:rsidP="00825DA5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825DA5" w:rsidRPr="00825DA5" w:rsidRDefault="00825DA5" w:rsidP="00825DA5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FERRAZ, Maria Heloísa C. de Toledo. </w:t>
            </w: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 xml:space="preserve">Metodologia do ensino de </w:t>
            </w: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ar</w:t>
            </w: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te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. 3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 ed. São Paulo: Cortez, 2000.</w:t>
            </w:r>
          </w:p>
          <w:p w:rsidR="00825DA5" w:rsidRPr="00825DA5" w:rsidRDefault="00825DA5" w:rsidP="00825DA5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825DA5">
              <w:rPr>
                <w:rFonts w:eastAsia="Tahoma"/>
                <w:sz w:val="24"/>
                <w:szCs w:val="24"/>
                <w:lang w:val="pt-BR"/>
              </w:rPr>
              <w:t>GONÇALVES, Tatiana Fecchio (Org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). </w:t>
            </w: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Entre linha, formas e cores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: arte na escola.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Campinas. SP: Papirus, 2010.</w:t>
            </w:r>
          </w:p>
          <w:p w:rsidR="00825DA5" w:rsidRPr="00825DA5" w:rsidRDefault="00825DA5" w:rsidP="00825DA5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Parâmetros Curriculares Nacionais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: Arte / Secretaria de Educação Fundamental.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Brasília: 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MEC/SEF, 1997.</w:t>
            </w:r>
          </w:p>
          <w:p w:rsidR="00825DA5" w:rsidRPr="00825DA5" w:rsidRDefault="00825DA5" w:rsidP="00825DA5">
            <w:pPr>
              <w:spacing w:line="360" w:lineRule="auto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825DA5" w:rsidRPr="00825DA5" w:rsidRDefault="00825DA5" w:rsidP="00825DA5">
            <w:pPr>
              <w:spacing w:line="360" w:lineRule="auto"/>
              <w:ind w:right="2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MANGE, MariliDiggs. </w:t>
            </w: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Arte brasileira para crianças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. 4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 ed. São Paulo: Martins Fontes, 2002.</w:t>
            </w:r>
          </w:p>
          <w:p w:rsidR="00825DA5" w:rsidRPr="00825DA5" w:rsidRDefault="00825DA5" w:rsidP="00825DA5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FERREIRA,  Martins.  </w:t>
            </w: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Como usar a música na sala de aula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. 7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 ed. São  Paulo:</w:t>
            </w:r>
          </w:p>
          <w:p w:rsidR="00825DA5" w:rsidRPr="00825DA5" w:rsidRDefault="00825DA5" w:rsidP="00825DA5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825DA5">
              <w:rPr>
                <w:rFonts w:eastAsia="Tahoma"/>
                <w:sz w:val="24"/>
                <w:szCs w:val="24"/>
                <w:lang w:val="pt-BR"/>
              </w:rPr>
              <w:t>Contexto, 2010.</w:t>
            </w:r>
          </w:p>
          <w:p w:rsidR="00825DA5" w:rsidRDefault="00825DA5" w:rsidP="00825DA5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825DA5">
              <w:rPr>
                <w:sz w:val="24"/>
                <w:szCs w:val="24"/>
                <w:lang w:val="pt-BR"/>
              </w:rPr>
              <w:t xml:space="preserve">GONÇALVES, Tatiana Fecchio (Org). </w:t>
            </w:r>
            <w:r w:rsidRPr="00825DA5">
              <w:rPr>
                <w:b/>
                <w:sz w:val="24"/>
                <w:szCs w:val="24"/>
                <w:lang w:val="pt-BR"/>
              </w:rPr>
              <w:t xml:space="preserve">Entre linha, formas e cores: </w:t>
            </w:r>
            <w:r w:rsidRPr="00825DA5">
              <w:rPr>
                <w:sz w:val="24"/>
                <w:szCs w:val="24"/>
                <w:lang w:val="pt-BR"/>
              </w:rPr>
              <w:t>arte na escola.</w:t>
            </w:r>
            <w:r w:rsidRPr="00825DA5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25DA5">
              <w:rPr>
                <w:sz w:val="24"/>
                <w:szCs w:val="24"/>
                <w:lang w:val="pt-BR"/>
              </w:rPr>
              <w:t>Campinas. SP: Papirus, 2010.</w:t>
            </w:r>
          </w:p>
          <w:p w:rsidR="00825DA5" w:rsidRPr="00825DA5" w:rsidRDefault="00825DA5" w:rsidP="00825DA5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PROENÇA,G. </w:t>
            </w: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História da arte</w:t>
            </w:r>
            <w:r>
              <w:rPr>
                <w:rFonts w:eastAsia="Tahoma"/>
                <w:sz w:val="24"/>
                <w:szCs w:val="24"/>
                <w:lang w:val="pt-BR"/>
              </w:rPr>
              <w:t>. São Paulo: Á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tica, 2000.</w:t>
            </w:r>
          </w:p>
          <w:p w:rsidR="0046742B" w:rsidRPr="00365328" w:rsidRDefault="00825DA5" w:rsidP="00825DA5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ROCHA,  Virginia  M.  O.  da.  </w:t>
            </w:r>
            <w:r w:rsidRPr="00825DA5">
              <w:rPr>
                <w:rFonts w:eastAsia="Tahoma"/>
                <w:b/>
                <w:sz w:val="24"/>
                <w:szCs w:val="24"/>
                <w:lang w:val="pt-BR"/>
              </w:rPr>
              <w:t>Contos  com  arte  em  educação  e  arteterapia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 xml:space="preserve">Balneário 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 </w:t>
            </w:r>
            <w:r w:rsidRPr="00825DA5">
              <w:rPr>
                <w:rFonts w:eastAsia="Tahoma"/>
                <w:sz w:val="24"/>
                <w:szCs w:val="24"/>
                <w:lang w:val="pt-BR"/>
              </w:rPr>
              <w:t>Camboriú: Avantis Educação Superior, 2013.</w:t>
            </w:r>
          </w:p>
        </w:tc>
      </w:tr>
    </w:tbl>
    <w:p w:rsidR="00120A29" w:rsidRPr="00365328" w:rsidRDefault="00120A29" w:rsidP="007C3E8E">
      <w:pPr>
        <w:spacing w:line="360" w:lineRule="auto"/>
        <w:jc w:val="both"/>
        <w:rPr>
          <w:lang w:val="pt-BR"/>
        </w:rPr>
      </w:pPr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E67CD"/>
    <w:rsid w:val="00120A29"/>
    <w:rsid w:val="00365328"/>
    <w:rsid w:val="0046742B"/>
    <w:rsid w:val="005F126E"/>
    <w:rsid w:val="0077199C"/>
    <w:rsid w:val="007C3E8E"/>
    <w:rsid w:val="00825DA5"/>
    <w:rsid w:val="00B84986"/>
    <w:rsid w:val="00B912C1"/>
    <w:rsid w:val="00B939D4"/>
    <w:rsid w:val="00CE51EB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12</cp:revision>
  <cp:lastPrinted>2018-01-22T11:51:00Z</cp:lastPrinted>
  <dcterms:created xsi:type="dcterms:W3CDTF">2018-01-16T12:56:00Z</dcterms:created>
  <dcterms:modified xsi:type="dcterms:W3CDTF">2018-01-22T11:51:00Z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